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FE" w:rsidRPr="00A9406E" w:rsidRDefault="00542EFE" w:rsidP="00542EF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542EFE" w:rsidRDefault="00542EFE" w:rsidP="00542EF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542EFE" w:rsidRPr="00A9406E" w:rsidRDefault="00542EFE" w:rsidP="00542EF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42EFE" w:rsidRPr="00A9406E" w:rsidTr="0018671C">
        <w:tc>
          <w:tcPr>
            <w:tcW w:w="4784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542EFE" w:rsidRPr="00A9406E" w:rsidRDefault="00542EFE" w:rsidP="00542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2EFE" w:rsidRDefault="00542EFE" w:rsidP="00542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BC0630" w:rsidRPr="00A9406E" w:rsidRDefault="00BC0630" w:rsidP="00542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FE" w:rsidRPr="00A9406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542EF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542EFE" w:rsidRPr="00A9406E" w:rsidTr="0018671C">
        <w:tc>
          <w:tcPr>
            <w:tcW w:w="567" w:type="dxa"/>
            <w:shd w:val="clear" w:color="auto" w:fill="FFFFFF" w:themeFill="background1"/>
          </w:tcPr>
          <w:p w:rsidR="00542EFE" w:rsidRPr="00F07DEE" w:rsidRDefault="00542EFE" w:rsidP="00F07DE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542EFE" w:rsidRPr="00A9406E" w:rsidTr="0018671C">
        <w:tc>
          <w:tcPr>
            <w:tcW w:w="567" w:type="dxa"/>
            <w:shd w:val="clear" w:color="auto" w:fill="FFFFFF" w:themeFill="background1"/>
          </w:tcPr>
          <w:p w:rsidR="00542EFE" w:rsidRPr="00F07DEE" w:rsidRDefault="00542EFE" w:rsidP="00F07DE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542EFE" w:rsidRPr="00C4724B" w:rsidRDefault="00542EFE" w:rsidP="00542EF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542EFE" w:rsidRPr="005467F9" w:rsidRDefault="00542EFE" w:rsidP="00542EF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 (этап ___ Работ) подлежат оплате в</w:t>
      </w:r>
      <w:r w:rsidR="005A0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порядке, указанном в пункте 3.</w:t>
      </w:r>
      <w:r w:rsidR="005A06F4" w:rsidRPr="005A06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542EFE" w:rsidRPr="00C4724B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542EF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542EF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542EFE" w:rsidRPr="00A9406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542EF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2EFE" w:rsidRPr="003E7B35" w:rsidRDefault="00542EFE" w:rsidP="00542EF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542EF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42EF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42EF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EF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542EFE" w:rsidRPr="00586E0A" w:rsidRDefault="00542EFE" w:rsidP="00BC063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87403" w:rsidRPr="00542EFE" w:rsidRDefault="00A87403" w:rsidP="00542EFE">
      <w:pPr>
        <w:pStyle w:val="a3"/>
        <w:ind w:firstLine="0"/>
      </w:pPr>
    </w:p>
    <w:sectPr w:rsidR="00A87403" w:rsidRPr="005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D2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08"/>
    <w:rsid w:val="002C4008"/>
    <w:rsid w:val="0036057C"/>
    <w:rsid w:val="00542EFE"/>
    <w:rsid w:val="005A06F4"/>
    <w:rsid w:val="00A87403"/>
    <w:rsid w:val="00BC0630"/>
    <w:rsid w:val="00C74F8F"/>
    <w:rsid w:val="00F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198B-3A00-4D50-AB76-B3FC6D2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36057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Calibri"/>
      <w:sz w:val="24"/>
    </w:rPr>
  </w:style>
  <w:style w:type="table" w:styleId="a4">
    <w:name w:val="Table Grid"/>
    <w:basedOn w:val="a1"/>
    <w:uiPriority w:val="59"/>
    <w:rsid w:val="002C4008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Акт сдачи-приемки работ (этапа работ) и результата работ (этапа работ) (НИР)</vt:lpstr>
    </vt:vector>
  </TitlesOfParts>
  <Company>HSE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работ (этапа работ) и результата работ (этапа работ) (НИР)</dc:title>
  <dc:creator>Denis P. Fedulkin</dc:creator>
  <cp:keywords>акт;сдачи-приемки работ;этапа работ;результата работ;НИР</cp:keywords>
  <cp:lastModifiedBy>Туркина Анастасия Евгеньевна</cp:lastModifiedBy>
  <cp:revision>2</cp:revision>
  <dcterms:created xsi:type="dcterms:W3CDTF">2019-04-19T11:26:00Z</dcterms:created>
  <dcterms:modified xsi:type="dcterms:W3CDTF">2019-04-19T11:26:00Z</dcterms:modified>
</cp:coreProperties>
</file>